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353" w:rsidRDefault="008F2353" w:rsidP="008F2353">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38"/>
      <w:r>
        <w:rPr>
          <w:rFonts w:ascii="Arial" w:hAnsi="Arial" w:cs="Arial"/>
          <w:b/>
          <w:bCs/>
          <w:sz w:val="20"/>
          <w:szCs w:val="20"/>
        </w:rPr>
        <w:t>Tài khoản 242 - Chi phí trả trước</w:t>
      </w:r>
      <w:bookmarkEnd w:id="0"/>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các chi phí thực tế đã phát sinh nhưng có liên quan đến kết quả hoạt động SXKD của nhiều kỳ kế toán và việc kết chuyển các khoản chi phí này vào chi phí SXKD của các kỳ kế toán sau.</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Các nội dung được phản ánh là chi phí trả trước, gồm:</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trả trước về thuê cơ sở hạ tầng, thuê hoạt động TSCĐ (quyền sử</w:t>
      </w:r>
      <w:r>
        <w:rPr>
          <w:rFonts w:ascii="Arial" w:hAnsi="Arial" w:cs="Arial"/>
          <w:b/>
          <w:bCs/>
          <w:i/>
          <w:iCs/>
          <w:sz w:val="20"/>
          <w:szCs w:val="20"/>
        </w:rPr>
        <w:t> </w:t>
      </w:r>
      <w:r>
        <w:rPr>
          <w:rFonts w:ascii="Arial" w:hAnsi="Arial" w:cs="Arial"/>
          <w:sz w:val="20"/>
          <w:szCs w:val="20"/>
        </w:rPr>
        <w:t>dụng đất, nhà xưởng, kho bãi, văn phòng làm việc, cửa hàng và TSCĐ khác) phục vụ cho sản xuất, kinh doanh nhiều kỳ kế toán.</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thành lập doanh nghiệp, chi phí đào tạo, quảng cáo phát sinh trong giai đoạn trước hoạt động có giá trị lớn được phân bổ theo quy định của pháp luật hiện hành;</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mua bảo hiểm (bảo hiểm cháy, nổ, bảo hiểm trách nhiệm dân sự chủ phương tiện vận tải, bảo hiểm thân xe, bảo hiểm tài sản,...) và các loại lệ phí mà doanh nghiệp mua và trả một lần cho nhiều kỳ kế toán;</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Công cụ, dụng cụ, bao bì luân chuyển, đồ dùng cho thuê liên quan đến hoạt động kinh doanh trong nhiều kỳ kế toán;</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Lãi tiền vay trả trước cho nhiều kỳ kế toán;</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sửa chữa TSCĐ phát sinh một lần có giá trị lớn doanh nghiệp không thực hiện trích trước chi phí sửa chữa lớn TSCĐ phân bổ theo quy định của pháp luật hiện hành;</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nghiên cứu và chi phí cho giai đoạn triển khai không đủ tiêu chuẩn ghi nhận là TSCĐ vô hình nếu được phân bổ dần theo quy định của pháp luật hiện hành;</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phí trả trước khác phục vụ cho hoạt động kinh doanh của nhiều kỳ kế toán.</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Việc tính và phân bổ chi phí trả trước vào chi phí SXKD từng kỳ kế toán phải căn cứ vào tính chất, mức độ từng loại chi phí để lựa chọn phương pháp và tiêu thức hợp lý.</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Kế toán phải theo dõi chi tiết từng khoản chi phí trả trước theo từng kỳ hạn trả trước đã phát sinh, đã phân bổ vào các đối tượng chịu chi phí của từng kỳ kế toán và số còn lại chưa phân bổ vào chi phí.</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Đối với các khoản chi phí trả trước bằng ngoại tệ, trường hợp tại thời điểm lập báo cáo có bằng chứng chắc chắn về việc người bán không thể cung cấp hàng hóa, dịch vụ và doanh nghiệp sẽ chắc chắn nhận lại các khoản trả trước bằng ngoại tệ thì được coi là các khoản mục tiền tệ có gốc ngoại tệ và phải đánh giá lại theo tỷ giá chuyển khoản trung bình của ngân hàng thương mại nơi doanh nghiệp thường xuyên có giao dịch tại thời điểm báo cáo.</w:t>
      </w:r>
    </w:p>
    <w:p w:rsidR="008F2353" w:rsidRDefault="008F2353" w:rsidP="008F2353">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sz w:val="20"/>
          <w:szCs w:val="20"/>
        </w:rPr>
        <w:t>Việc xác định tỷ giá chuyển khoản trung bình và xử lý chênh lệch tỷ giá do đánh giá lại chi phí trả trước là khoản mục tiền tệ có gốc ngoại tệ được thực hiện theo quy định tại </w:t>
      </w:r>
      <w:bookmarkStart w:id="1" w:name="tc_13"/>
      <w:r>
        <w:rPr>
          <w:rFonts w:ascii="Arial" w:hAnsi="Arial" w:cs="Arial"/>
          <w:color w:val="0000FF"/>
          <w:sz w:val="20"/>
          <w:szCs w:val="20"/>
        </w:rPr>
        <w:t>Điều 52 Thông tư này.</w:t>
      </w:r>
      <w:bookmarkEnd w:id="1"/>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242 - Chi phí trả trước</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r>
        <w:rPr>
          <w:rFonts w:ascii="Arial" w:hAnsi="Arial" w:cs="Arial"/>
          <w:sz w:val="20"/>
          <w:szCs w:val="20"/>
        </w:rPr>
        <w:t> Các khoản chi phí trả trước phát sinh trong kỳ.</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r>
        <w:rPr>
          <w:rFonts w:ascii="Arial" w:hAnsi="Arial" w:cs="Arial"/>
          <w:sz w:val="20"/>
          <w:szCs w:val="20"/>
        </w:rPr>
        <w:t> Các khoản chi phí trả trước đã tính vào chi phí SXKD trong kỳ.</w:t>
      </w:r>
    </w:p>
    <w:p w:rsidR="008F2353" w:rsidRDefault="008F2353" w:rsidP="008F2353">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w:t>
      </w:r>
      <w:r>
        <w:rPr>
          <w:rFonts w:ascii="Arial" w:hAnsi="Arial" w:cs="Arial"/>
          <w:sz w:val="20"/>
          <w:szCs w:val="20"/>
        </w:rPr>
        <w:t> Các khoản chi phí trả trước chưa tính vào chi phí sản xuất, kinh doanh trong kỳ.</w:t>
      </w:r>
    </w:p>
    <w:p w:rsidR="00943631" w:rsidRDefault="00943631">
      <w:bookmarkStart w:id="2" w:name="_GoBack"/>
      <w:bookmarkEnd w:id="2"/>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353"/>
    <w:rsid w:val="008F2353"/>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2F10EB-1D88-4170-9A3D-D232D829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F2353"/>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067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2024-03-18T01:47:00Z</dcterms:created>
  <dcterms:modified xsi:type="dcterms:W3CDTF">2024-03-18T01:48:00Z</dcterms:modified>
</cp:coreProperties>
</file>